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Spacing"/>
        <w:rPr>
          <w:rFonts w:cs="Arial"/>
          <w:b/>
          <w:sz w:val="20"/>
          <w:szCs w:val="20"/>
        </w:rPr>
      </w:pPr>
      <w:r>
        <w:rPr>
          <w:rFonts w:cs="Arial"/>
          <w:b/>
          <w:sz w:val="20"/>
          <w:szCs w:val="20"/>
        </w:rPr>
        <w:t>Digitaler BUS–Leistungsmessumformer</w:t>
      </w:r>
    </w:p>
    <w:p>
      <w:pPr>
        <w:pStyle w:val="NoSpacing"/>
        <w:rPr>
          <w:rFonts w:cs="Arial"/>
          <w:sz w:val="20"/>
          <w:szCs w:val="20"/>
        </w:rPr>
      </w:pPr>
      <w:r>
        <w:rPr>
          <w:rFonts w:cs="Arial"/>
          <w:sz w:val="20"/>
          <w:szCs w:val="20"/>
        </w:rPr>
        <w:t xml:space="preserve">Alle Größen des Drehstromnetzes, d.h. Wirkleistung, Blindleistung, Scheinleistung, Spannungen, Ströme, Frequenz, Leistungsfaktor u.a. </w:t>
      </w:r>
      <w:bookmarkStart w:id="0" w:name="_GoBack"/>
      <w:bookmarkEnd w:id="0"/>
      <w:r>
        <w:rPr>
          <w:rFonts w:cs="Arial"/>
          <w:sz w:val="20"/>
          <w:szCs w:val="20"/>
        </w:rPr>
        <w:t xml:space="preserve">werden messtechnisch erfasst und über die Schnittstellen PROFINET </w:t>
      </w:r>
      <w:r>
        <w:rPr>
          <w:rFonts w:cs="Arial"/>
          <w:sz w:val="20"/>
          <w:szCs w:val="20"/>
        </w:rPr>
        <w:t>und</w:t>
      </w:r>
      <w:r>
        <w:rPr>
          <w:rFonts w:cs="Arial"/>
          <w:sz w:val="20"/>
          <w:szCs w:val="20"/>
        </w:rPr>
        <w:t xml:space="preserve"> ModbusRTU zur Verfügung gestellt. Die Messung gilt für </w:t>
      </w:r>
    </w:p>
    <w:p>
      <w:pPr>
        <w:pStyle w:val="NoSpacing"/>
        <w:rPr/>
      </w:pPr>
      <w:r>
        <w:rPr>
          <w:rFonts w:cs="Arial"/>
          <w:sz w:val="20"/>
          <w:szCs w:val="20"/>
        </w:rPr>
        <w:t xml:space="preserve">3- als auch 4-Leiter-Netze, gleich oder ungleich belastet. Das Gerät wird über ein Weitbereichsnetzteil versorgt. Die Strommessung findet über die an der Front angebrachten Durchsteckwandler statt. Für die Messung von hohen Spannungen oder Strömen können jederzeit externe Wandler vorgeschaltet werden. Das Gerät kann auch über eine PC- Software ausgelesen und parametriert werden. </w:t>
      </w:r>
    </w:p>
    <w:p>
      <w:pPr>
        <w:pStyle w:val="NoSpacing"/>
        <w:rPr>
          <w:rFonts w:cs="Arial"/>
          <w:sz w:val="20"/>
          <w:szCs w:val="20"/>
        </w:rPr>
      </w:pPr>
      <w:r>
        <w:rPr>
          <w:rFonts w:cs="Arial"/>
          <w:sz w:val="20"/>
          <w:szCs w:val="20"/>
        </w:rPr>
        <w:t xml:space="preserve">Zwei LEDs an der Front signalisieren den Betriebszustand und den Datenverkehr. </w:t>
      </w:r>
    </w:p>
    <w:p>
      <w:pPr>
        <w:pStyle w:val="NoSpacing"/>
        <w:rPr>
          <w:rFonts w:cs="Arial"/>
          <w:sz w:val="20"/>
          <w:szCs w:val="20"/>
        </w:rPr>
      </w:pPr>
      <w:r>
        <w:rPr>
          <w:rFonts w:cs="Arial"/>
          <w:sz w:val="20"/>
          <w:szCs w:val="20"/>
        </w:rPr>
      </w:r>
    </w:p>
    <w:p>
      <w:pPr>
        <w:pStyle w:val="NoSpacing"/>
        <w:rPr>
          <w:rFonts w:cs="Arial"/>
          <w:sz w:val="20"/>
          <w:szCs w:val="20"/>
        </w:rPr>
      </w:pPr>
      <w:r>
        <w:rPr>
          <w:rFonts w:cs="Arial"/>
          <w:sz w:val="20"/>
          <w:szCs w:val="20"/>
        </w:rPr>
        <w:t>Spannungseingänge.:</w:t>
        <w:tab/>
        <w:t>3x Messeingänge Un = 80-253 V AC, 50 Hz</w:t>
      </w:r>
    </w:p>
    <w:p>
      <w:pPr>
        <w:pStyle w:val="NoSpacing"/>
        <w:rPr>
          <w:rFonts w:cs="Arial"/>
          <w:sz w:val="20"/>
          <w:szCs w:val="20"/>
        </w:rPr>
      </w:pPr>
      <w:r>
        <w:rPr>
          <w:rFonts w:cs="Arial"/>
          <w:sz w:val="20"/>
          <w:szCs w:val="20"/>
        </w:rPr>
        <w:tab/>
        <w:tab/>
        <w:tab/>
        <w:t>Eingangswiderstand ca. 500 kOhm</w:t>
      </w:r>
    </w:p>
    <w:p>
      <w:pPr>
        <w:pStyle w:val="NoSpacing"/>
        <w:rPr>
          <w:rFonts w:cs="Arial"/>
          <w:sz w:val="20"/>
          <w:szCs w:val="20"/>
        </w:rPr>
      </w:pPr>
      <w:r>
        <w:rPr>
          <w:rFonts w:cs="Arial"/>
          <w:sz w:val="20"/>
          <w:szCs w:val="20"/>
        </w:rPr>
      </w:r>
    </w:p>
    <w:p>
      <w:pPr>
        <w:pStyle w:val="NoSpacing"/>
        <w:rPr>
          <w:rFonts w:cs="Arial"/>
          <w:sz w:val="20"/>
          <w:szCs w:val="20"/>
        </w:rPr>
      </w:pPr>
      <w:r>
        <w:rPr>
          <w:rFonts w:cs="Arial"/>
          <w:sz w:val="20"/>
          <w:szCs w:val="20"/>
        </w:rPr>
        <w:t>Stromeingänge:</w:t>
        <w:tab/>
        <w:tab/>
        <w:t xml:space="preserve">3x Messeingänge als Durchsteckwandler </w:t>
        <w:br/>
        <w:tab/>
        <w:tab/>
        <w:tab/>
        <w:t xml:space="preserve">Nennmessbereiche </w:t>
        <w:br/>
        <w:tab/>
        <w:tab/>
        <w:tab/>
        <w:t>In = 0....1 A AC / 0....5 A AC / 0....20 A AC /</w:t>
      </w:r>
    </w:p>
    <w:p>
      <w:pPr>
        <w:pStyle w:val="NoSpacing"/>
        <w:rPr>
          <w:rFonts w:cs="Arial"/>
          <w:sz w:val="20"/>
          <w:szCs w:val="20"/>
        </w:rPr>
      </w:pPr>
      <w:r>
        <w:rPr>
          <w:rFonts w:cs="Arial"/>
          <w:sz w:val="20"/>
          <w:szCs w:val="20"/>
        </w:rPr>
        <w:tab/>
        <w:tab/>
        <w:tab/>
        <w:t xml:space="preserve">Max. Leiterdurchmesser 4,8 mm   </w:t>
      </w:r>
    </w:p>
    <w:p>
      <w:pPr>
        <w:pStyle w:val="NoSpacing"/>
        <w:rPr>
          <w:rFonts w:cs="Arial"/>
          <w:sz w:val="20"/>
          <w:szCs w:val="20"/>
        </w:rPr>
      </w:pPr>
      <w:r>
        <w:rPr>
          <w:rFonts w:cs="Arial"/>
          <w:sz w:val="20"/>
          <w:szCs w:val="20"/>
        </w:rPr>
      </w:r>
    </w:p>
    <w:p>
      <w:pPr>
        <w:pStyle w:val="KeinLeerraum1"/>
        <w:rPr>
          <w:rFonts w:cs="Arial"/>
          <w:sz w:val="20"/>
          <w:szCs w:val="20"/>
        </w:rPr>
      </w:pPr>
      <w:r>
        <w:rPr>
          <w:rFonts w:cs="Arial"/>
          <w:sz w:val="20"/>
          <w:szCs w:val="20"/>
        </w:rPr>
        <w:t xml:space="preserve">Schnittstellen: </w:t>
        <w:tab/>
        <w:tab/>
        <w:t>- PROFINET</w:t>
        <w:br/>
        <w:tab/>
        <w:tab/>
        <w:tab/>
        <w:t>- RS485 ModbusRTU</w:t>
      </w:r>
    </w:p>
    <w:p>
      <w:pPr>
        <w:pStyle w:val="NoSpacing"/>
        <w:rPr>
          <w:rFonts w:cs="Arial"/>
          <w:sz w:val="20"/>
          <w:szCs w:val="20"/>
        </w:rPr>
      </w:pPr>
      <w:r>
        <w:rPr>
          <w:rFonts w:cs="Arial"/>
          <w:sz w:val="20"/>
          <w:szCs w:val="20"/>
        </w:rPr>
      </w:r>
    </w:p>
    <w:p>
      <w:pPr>
        <w:pStyle w:val="Normal"/>
        <w:rPr/>
      </w:pPr>
      <w:r>
        <w:rPr>
          <w:rFonts w:cs="Arial"/>
          <w:sz w:val="20"/>
          <w:szCs w:val="20"/>
        </w:rPr>
        <w:t>Einflusseffekte:</w:t>
        <w:tab/>
        <w:tab/>
      </w:r>
      <w:r>
        <w:rPr>
          <w:rFonts w:eastAsia="Times New Roman" w:cs="Arial"/>
          <w:sz w:val="20"/>
          <w:szCs w:val="20"/>
          <w:lang w:eastAsia="de-DE"/>
        </w:rPr>
        <w:t>Grundgenauigkeit &lt; 0,5 % (Klasse 0.5)</w:t>
        <w:br/>
        <w:tab/>
        <w:tab/>
        <w:tab/>
        <w:t>Temperatureinfluss: 80 ppm/K</w:t>
        <w:br/>
        <w:tab/>
        <w:tab/>
        <w:tab/>
        <w:t>Reaktionszeit: &lt; 2 s</w:t>
      </w:r>
    </w:p>
    <w:p>
      <w:pPr>
        <w:pStyle w:val="Normal"/>
        <w:rPr>
          <w:rFonts w:eastAsia="Times New Roman" w:cs="Arial"/>
          <w:sz w:val="20"/>
          <w:szCs w:val="20"/>
          <w:lang w:eastAsia="de-DE"/>
        </w:rPr>
      </w:pPr>
      <w:r>
        <w:rPr>
          <w:rFonts w:eastAsia="Times New Roman" w:cs="Arial"/>
          <w:sz w:val="20"/>
          <w:szCs w:val="20"/>
          <w:lang w:eastAsia="de-DE"/>
        </w:rPr>
      </w:r>
    </w:p>
    <w:p>
      <w:pPr>
        <w:pStyle w:val="Normal"/>
        <w:rPr>
          <w:rFonts w:cs="Arial"/>
          <w:sz w:val="20"/>
          <w:szCs w:val="20"/>
        </w:rPr>
      </w:pPr>
      <w:r>
        <w:rPr>
          <w:rFonts w:cs="Arial"/>
          <w:sz w:val="20"/>
          <w:szCs w:val="20"/>
        </w:rPr>
        <w:t>Versorgung:</w:t>
        <w:tab/>
        <w:tab/>
        <w:t xml:space="preserve">Universal-Weitbereichsnetzeil </w:t>
        <w:br/>
        <w:tab/>
        <w:tab/>
        <w:tab/>
        <w:t xml:space="preserve">Versorgungsspannung </w:t>
        <w:tab/>
        <w:t>DC:  20 ... 253 V DC</w:t>
      </w:r>
    </w:p>
    <w:p>
      <w:pPr>
        <w:pStyle w:val="Normal"/>
        <w:rPr>
          <w:rFonts w:cs="Arial"/>
          <w:sz w:val="20"/>
          <w:szCs w:val="20"/>
        </w:rPr>
      </w:pPr>
      <w:r>
        <w:rPr>
          <w:rFonts w:cs="Arial"/>
          <w:sz w:val="20"/>
          <w:szCs w:val="20"/>
        </w:rPr>
        <w:tab/>
        <w:tab/>
        <w:tab/>
        <w:tab/>
        <w:tab/>
        <w:tab/>
        <w:t>AC:  50 ... 253 V AC, 50/60 Hz</w:t>
        <w:br/>
        <w:tab/>
        <w:tab/>
        <w:tab/>
        <w:t xml:space="preserve">Leistungsaufnahme AC: </w:t>
      </w:r>
      <w:r>
        <w:rPr>
          <w:rFonts w:cs="Arial"/>
          <w:sz w:val="20"/>
          <w:szCs w:val="20"/>
        </w:rPr>
        <w:t>2</w:t>
      </w:r>
      <w:r>
        <w:rPr>
          <w:rFonts w:cs="Arial"/>
          <w:sz w:val="20"/>
          <w:szCs w:val="20"/>
        </w:rPr>
        <w:t xml:space="preserve"> W / 4,0 VA</w:t>
      </w:r>
    </w:p>
    <w:p>
      <w:pPr>
        <w:pStyle w:val="NoSpacing"/>
        <w:rPr>
          <w:rFonts w:cs="Arial"/>
          <w:sz w:val="20"/>
          <w:szCs w:val="20"/>
        </w:rPr>
      </w:pPr>
      <w:r>
        <w:rPr>
          <w:rFonts w:cs="Arial"/>
          <w:sz w:val="20"/>
          <w:szCs w:val="20"/>
        </w:rPr>
      </w:r>
    </w:p>
    <w:p>
      <w:pPr>
        <w:pStyle w:val="NoSpacing"/>
        <w:rPr>
          <w:rFonts w:cs="Arial"/>
          <w:sz w:val="20"/>
          <w:szCs w:val="20"/>
        </w:rPr>
      </w:pPr>
      <w:r>
        <w:rPr>
          <w:rFonts w:cs="Arial"/>
          <w:sz w:val="20"/>
          <w:szCs w:val="20"/>
        </w:rPr>
        <w:t>EMV:</w:t>
        <w:tab/>
        <w:tab/>
        <w:tab/>
        <w:t>Produktfamiliennorm EN 61326 1)</w:t>
      </w:r>
    </w:p>
    <w:p>
      <w:pPr>
        <w:pStyle w:val="NoSpacing"/>
        <w:rPr>
          <w:rFonts w:cs="Arial"/>
          <w:sz w:val="20"/>
          <w:szCs w:val="20"/>
        </w:rPr>
      </w:pPr>
      <w:r>
        <w:rPr>
          <w:rFonts w:cs="Arial"/>
          <w:sz w:val="20"/>
          <w:szCs w:val="20"/>
        </w:rPr>
        <w:tab/>
        <w:tab/>
        <w:tab/>
        <w:t>Störaussendung EN 55011, CISPR11 Kl. B</w:t>
      </w:r>
    </w:p>
    <w:p>
      <w:pPr>
        <w:pStyle w:val="NoSpacing"/>
        <w:rPr>
          <w:rFonts w:cs="Arial"/>
          <w:sz w:val="20"/>
          <w:szCs w:val="20"/>
        </w:rPr>
      </w:pPr>
      <w:r>
        <w:rPr>
          <w:rFonts w:cs="Arial"/>
          <w:sz w:val="20"/>
          <w:szCs w:val="20"/>
        </w:rPr>
      </w:r>
    </w:p>
    <w:p>
      <w:pPr>
        <w:pStyle w:val="NoSpacing"/>
        <w:rPr>
          <w:rFonts w:cs="Arial"/>
          <w:sz w:val="20"/>
          <w:szCs w:val="20"/>
        </w:rPr>
      </w:pPr>
      <w:r>
        <w:rPr>
          <w:rFonts w:cs="Arial"/>
          <w:sz w:val="20"/>
          <w:szCs w:val="20"/>
        </w:rPr>
        <w:t>Elektr. Sicherheit:</w:t>
        <w:tab/>
        <w:t>Produktfamiliennorm EN 61010-1</w:t>
      </w:r>
    </w:p>
    <w:p>
      <w:pPr>
        <w:pStyle w:val="NoSpacing"/>
        <w:rPr>
          <w:rFonts w:cs="Arial"/>
          <w:sz w:val="20"/>
          <w:szCs w:val="20"/>
        </w:rPr>
      </w:pPr>
      <w:r>
        <w:rPr>
          <w:rFonts w:cs="Arial"/>
          <w:sz w:val="20"/>
          <w:szCs w:val="20"/>
        </w:rPr>
        <w:tab/>
        <w:tab/>
        <w:tab/>
        <w:t>Überspannungskategorie II</w:t>
      </w:r>
    </w:p>
    <w:p>
      <w:pPr>
        <w:pStyle w:val="NoSpacing"/>
        <w:rPr>
          <w:rFonts w:cs="Arial"/>
          <w:sz w:val="20"/>
          <w:szCs w:val="20"/>
        </w:rPr>
      </w:pPr>
      <w:r>
        <w:rPr>
          <w:rFonts w:cs="Arial"/>
          <w:sz w:val="20"/>
          <w:szCs w:val="20"/>
        </w:rPr>
        <w:tab/>
        <w:tab/>
        <w:tab/>
        <w:t>Verschmutzungsgrad 2</w:t>
      </w:r>
    </w:p>
    <w:p>
      <w:pPr>
        <w:pStyle w:val="NoSpacing"/>
        <w:rPr>
          <w:rFonts w:cs="Arial"/>
          <w:sz w:val="20"/>
          <w:szCs w:val="20"/>
        </w:rPr>
      </w:pPr>
      <w:r>
        <w:rPr>
          <w:rFonts w:cs="Arial"/>
          <w:sz w:val="20"/>
          <w:szCs w:val="20"/>
        </w:rPr>
        <w:tab/>
        <w:tab/>
        <w:tab/>
        <w:t>Sicherheit Messstromkreis EN 61010-2-030</w:t>
      </w:r>
    </w:p>
    <w:p>
      <w:pPr>
        <w:pStyle w:val="NoSpacing"/>
        <w:rPr>
          <w:rFonts w:cs="Arial"/>
          <w:sz w:val="20"/>
          <w:szCs w:val="20"/>
        </w:rPr>
      </w:pPr>
      <w:r>
        <w:rPr>
          <w:rFonts w:cs="Arial"/>
          <w:sz w:val="20"/>
          <w:szCs w:val="20"/>
        </w:rPr>
        <w:tab/>
        <w:tab/>
        <w:tab/>
        <w:t>Messkategorie CAT III</w:t>
      </w:r>
    </w:p>
    <w:p>
      <w:pPr>
        <w:pStyle w:val="NoSpacing"/>
        <w:rPr>
          <w:rFonts w:cs="Arial"/>
          <w:sz w:val="20"/>
          <w:szCs w:val="20"/>
        </w:rPr>
      </w:pPr>
      <w:r>
        <w:rPr>
          <w:rFonts w:cs="Arial"/>
          <w:sz w:val="20"/>
          <w:szCs w:val="20"/>
        </w:rPr>
      </w:r>
    </w:p>
    <w:p>
      <w:pPr>
        <w:pStyle w:val="NoSpacing"/>
        <w:rPr>
          <w:rFonts w:cs="Arial"/>
          <w:sz w:val="20"/>
          <w:szCs w:val="20"/>
        </w:rPr>
      </w:pPr>
      <w:r>
        <w:rPr>
          <w:rFonts w:cs="Arial"/>
          <w:sz w:val="20"/>
          <w:szCs w:val="20"/>
        </w:rPr>
        <w:t>Umgebungstemp.:</w:t>
        <w:tab/>
        <w:t>0-50 °C</w:t>
      </w:r>
    </w:p>
    <w:p>
      <w:pPr>
        <w:pStyle w:val="NoSpacing"/>
        <w:rPr>
          <w:rFonts w:cs="Arial"/>
          <w:sz w:val="20"/>
          <w:szCs w:val="20"/>
        </w:rPr>
      </w:pPr>
      <w:r>
        <w:rPr>
          <w:rFonts w:cs="Arial"/>
          <w:sz w:val="20"/>
          <w:szCs w:val="20"/>
        </w:rPr>
      </w:r>
    </w:p>
    <w:p>
      <w:pPr>
        <w:pStyle w:val="NoSpacing"/>
        <w:rPr>
          <w:rFonts w:cs="Arial"/>
          <w:sz w:val="20"/>
          <w:szCs w:val="20"/>
        </w:rPr>
      </w:pPr>
      <w:r>
        <w:rPr>
          <w:rFonts w:cs="Arial"/>
          <w:sz w:val="20"/>
          <w:szCs w:val="20"/>
        </w:rPr>
        <w:t xml:space="preserve">Bauform: </w:t>
        <w:tab/>
        <w:tab/>
        <w:t>Aufbaugehäuse Typ GT</w:t>
      </w:r>
    </w:p>
    <w:p>
      <w:pPr>
        <w:pStyle w:val="NoSpacing"/>
        <w:rPr>
          <w:rFonts w:cs="Arial"/>
          <w:sz w:val="20"/>
          <w:szCs w:val="20"/>
        </w:rPr>
      </w:pPr>
      <w:r>
        <w:rPr>
          <w:rFonts w:cs="Arial"/>
          <w:sz w:val="20"/>
          <w:szCs w:val="20"/>
        </w:rPr>
        <w:tab/>
        <w:tab/>
        <w:tab/>
        <w:t>für 35 mm Normschiene nach EN 50022</w:t>
      </w:r>
    </w:p>
    <w:p>
      <w:pPr>
        <w:pStyle w:val="NoSpacing"/>
        <w:rPr>
          <w:rFonts w:cs="Arial"/>
          <w:sz w:val="20"/>
          <w:szCs w:val="20"/>
        </w:rPr>
      </w:pPr>
      <w:r>
        <w:rPr>
          <w:rFonts w:cs="Arial"/>
          <w:sz w:val="20"/>
          <w:szCs w:val="20"/>
        </w:rPr>
        <w:t>Maße / Schutzart:</w:t>
        <w:tab/>
        <w:t>105x90x78 mm (BxHxT)  / IP 20</w:t>
      </w:r>
    </w:p>
    <w:p>
      <w:pPr>
        <w:pStyle w:val="NoSpacing"/>
        <w:rPr>
          <w:rFonts w:cs="Arial"/>
          <w:sz w:val="20"/>
          <w:szCs w:val="20"/>
        </w:rPr>
      </w:pPr>
      <w:r>
        <w:rPr>
          <w:rFonts w:cs="Arial"/>
          <w:sz w:val="20"/>
          <w:szCs w:val="20"/>
        </w:rPr>
        <w:t>Anschlusstechnik:</w:t>
        <w:tab/>
        <w:t xml:space="preserve">obenliegende Schraubklemmen </w:t>
      </w:r>
    </w:p>
    <w:p>
      <w:pPr>
        <w:pStyle w:val="NoSpacing"/>
        <w:rPr>
          <w:rFonts w:cs="Arial"/>
          <w:sz w:val="20"/>
          <w:szCs w:val="20"/>
        </w:rPr>
      </w:pPr>
      <w:r>
        <w:rPr>
          <w:rFonts w:cs="Arial"/>
          <w:sz w:val="20"/>
          <w:szCs w:val="20"/>
        </w:rPr>
        <w:tab/>
        <w:tab/>
        <w:tab/>
        <w:t>für 2,5mm² Litze oder/ 4 mm² Draht</w:t>
      </w:r>
    </w:p>
    <w:p>
      <w:pPr>
        <w:pStyle w:val="NoSpacing"/>
        <w:rPr>
          <w:rFonts w:cs="Arial"/>
          <w:sz w:val="20"/>
          <w:szCs w:val="20"/>
        </w:rPr>
      </w:pPr>
      <w:r>
        <w:rPr>
          <w:rFonts w:cs="Arial"/>
          <w:sz w:val="20"/>
          <w:szCs w:val="20"/>
        </w:rPr>
      </w:r>
    </w:p>
    <w:p>
      <w:pPr>
        <w:pStyle w:val="NoSpacing"/>
        <w:rPr>
          <w:rFonts w:cs="Arial"/>
          <w:sz w:val="20"/>
          <w:szCs w:val="20"/>
          <w:lang w:val="en-GB"/>
        </w:rPr>
      </w:pPr>
      <w:r>
        <w:rPr>
          <w:rFonts w:cs="Arial"/>
          <w:sz w:val="20"/>
          <w:szCs w:val="20"/>
          <w:lang w:val="en-GB"/>
        </w:rPr>
        <w:t xml:space="preserve">Gerätetyp: </w:t>
        <w:tab/>
        <w:tab/>
        <w:t>AD-LU 40</w:t>
      </w:r>
      <w:r>
        <w:rPr>
          <w:rFonts w:cs="Arial"/>
          <w:sz w:val="20"/>
          <w:szCs w:val="20"/>
          <w:lang w:val="en-GB"/>
        </w:rPr>
        <w:t xml:space="preserve">1 </w:t>
      </w:r>
      <w:r>
        <w:rPr>
          <w:rFonts w:cs="Arial"/>
          <w:sz w:val="20"/>
          <w:szCs w:val="20"/>
          <w:lang w:val="en-GB"/>
        </w:rPr>
        <w:t>GT-</w:t>
      </w:r>
      <w:r>
        <w:rPr>
          <w:rFonts w:cs="Arial"/>
          <w:sz w:val="20"/>
          <w:szCs w:val="20"/>
          <w:lang w:val="en-GB"/>
        </w:rPr>
        <w:t>PN</w:t>
      </w:r>
    </w:p>
    <w:p>
      <w:pPr>
        <w:pStyle w:val="NoSpacing"/>
        <w:rPr>
          <w:rFonts w:cs="Arial"/>
          <w:sz w:val="20"/>
          <w:szCs w:val="20"/>
          <w:lang w:val="en-GB"/>
        </w:rPr>
      </w:pPr>
      <w:r>
        <w:rPr>
          <w:rFonts w:cs="Arial"/>
          <w:sz w:val="20"/>
          <w:szCs w:val="20"/>
          <w:lang w:val="en-GB"/>
        </w:rPr>
        <w:t xml:space="preserve">Fabrikat: </w:t>
        <w:tab/>
        <w:tab/>
        <w:t>ADAMCZEWSKI</w:t>
      </w:r>
    </w:p>
    <w:p>
      <w:pPr>
        <w:pStyle w:val="NoSpacing"/>
        <w:rPr>
          <w:rFonts w:cs="Arial"/>
          <w:sz w:val="20"/>
          <w:szCs w:val="20"/>
        </w:rPr>
      </w:pPr>
      <w:r>
        <w:rPr>
          <w:rFonts w:cs="Arial"/>
          <w:sz w:val="20"/>
          <w:szCs w:val="20"/>
          <w:lang w:val="en-GB"/>
        </w:rPr>
        <w:tab/>
        <w:tab/>
        <w:tab/>
      </w:r>
      <w:r>
        <w:rPr>
          <w:rFonts w:cs="Arial"/>
          <w:sz w:val="20"/>
          <w:szCs w:val="20"/>
        </w:rPr>
        <w:t>oder gleichwertig und gleichartig</w:t>
      </w:r>
    </w:p>
    <w:p>
      <w:pPr>
        <w:pStyle w:val="NoSpacing"/>
        <w:rPr>
          <w:rFonts w:cs="Arial"/>
          <w:sz w:val="20"/>
          <w:szCs w:val="20"/>
        </w:rPr>
      </w:pPr>
      <w:r>
        <w:rPr>
          <w:rFonts w:cs="Arial"/>
          <w:sz w:val="20"/>
          <w:szCs w:val="20"/>
        </w:rPr>
      </w:r>
    </w:p>
    <w:p>
      <w:pPr>
        <w:pStyle w:val="NoSpacing"/>
        <w:rPr>
          <w:rFonts w:cs="Arial"/>
          <w:sz w:val="20"/>
          <w:szCs w:val="20"/>
        </w:rPr>
      </w:pPr>
      <w:r>
        <w:rPr>
          <w:rFonts w:cs="Arial"/>
          <w:sz w:val="20"/>
          <w:szCs w:val="20"/>
        </w:rPr>
        <w:t>gewähltes Fabrikat:</w:t>
        <w:tab/>
        <w:t>.........................................</w:t>
      </w:r>
    </w:p>
    <w:p>
      <w:pPr>
        <w:pStyle w:val="NoSpacing"/>
        <w:rPr>
          <w:rFonts w:cs="Arial"/>
          <w:sz w:val="20"/>
          <w:szCs w:val="20"/>
        </w:rPr>
      </w:pPr>
      <w:r>
        <w:rPr>
          <w:rFonts w:cs="Arial"/>
          <w:sz w:val="20"/>
          <w:szCs w:val="20"/>
        </w:rPr>
        <w:t>gewählter Typ:</w:t>
        <w:tab/>
        <w:tab/>
        <w:t>..........................................</w:t>
      </w:r>
    </w:p>
    <w:sectPr>
      <w:type w:val="nextPage"/>
      <w:pgSz w:w="11906" w:h="16838"/>
      <w:pgMar w:left="1417" w:right="1417" w:gutter="0" w:header="0" w:top="1417" w:footer="0" w:bottom="1134"/>
      <w:pgNumType w:fmt="decimal"/>
      <w:formProt w:val="false"/>
      <w:textDirection w:val="lrTb"/>
      <w:docGrid w:type="default" w:linePitch="36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sz w:val="24"/>
        <w:szCs w:val="24"/>
        <w:lang w:val="de-DE" w:eastAsia="zh-CN" w:bidi="hi-IN"/>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Arial" w:hAnsi="Arial" w:eastAsia="SimSun" w:cs="Mangal"/>
      <w:color w:val="auto"/>
      <w:kern w:val="2"/>
      <w:sz w:val="22"/>
      <w:szCs w:val="24"/>
      <w:lang w:val="de-DE" w:eastAsia="zh-CN" w:bidi="hi-IN"/>
    </w:rPr>
  </w:style>
  <w:style w:type="character" w:styleId="DefaultParagraphFont" w:default="1">
    <w:name w:val="Default Paragraph Font"/>
    <w:uiPriority w:val="1"/>
    <w:semiHidden/>
    <w:unhideWhenUsed/>
    <w:qFormat/>
    <w:rPr/>
  </w:style>
  <w:style w:type="paragraph" w:styleId="berschrift">
    <w:name w:val="Überschrif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rPr>
  </w:style>
  <w:style w:type="paragraph" w:styleId="Verzeichnis">
    <w:name w:val="Verzeichnis"/>
    <w:basedOn w:val="Normal"/>
    <w:qFormat/>
    <w:pPr>
      <w:suppressLineNumbers/>
    </w:pPr>
    <w:rPr>
      <w:rFonts w:cs="Lucida Sans"/>
    </w:rPr>
  </w:style>
  <w:style w:type="paragraph" w:styleId="berschriftuser" w:customStyle="1">
    <w:name w:val="Überschrift (user)"/>
    <w:basedOn w:val="Normal"/>
    <w:next w:val="BodyText"/>
    <w:qFormat/>
    <w:pPr>
      <w:keepNext w:val="true"/>
      <w:spacing w:before="240" w:after="120"/>
    </w:pPr>
    <w:rPr>
      <w:rFonts w:eastAsia="Microsoft YaHei"/>
      <w:sz w:val="28"/>
      <w:szCs w:val="28"/>
    </w:rPr>
  </w:style>
  <w:style w:type="paragraph" w:styleId="Verzeichnisuser" w:customStyle="1">
    <w:name w:val="Verzeichnis (user)"/>
    <w:basedOn w:val="Normal"/>
    <w:qFormat/>
    <w:pPr>
      <w:suppressLineNumbers/>
    </w:pPr>
    <w:rPr/>
  </w:style>
  <w:style w:type="paragraph" w:styleId="NoSpacing">
    <w:name w:val="No Spacing"/>
    <w:qFormat/>
    <w:pPr>
      <w:widowControl/>
      <w:suppressAutoHyphens w:val="true"/>
      <w:bidi w:val="0"/>
      <w:spacing w:lineRule="atLeast" w:line="100" w:before="0" w:after="0"/>
      <w:jc w:val="left"/>
    </w:pPr>
    <w:rPr>
      <w:rFonts w:ascii="Arial" w:hAnsi="Arial" w:eastAsia="SimSun" w:cs="Mangal"/>
      <w:color w:val="auto"/>
      <w:kern w:val="2"/>
      <w:sz w:val="22"/>
      <w:szCs w:val="24"/>
      <w:lang w:val="de-DE" w:eastAsia="zh-CN" w:bidi="hi-IN"/>
    </w:rPr>
  </w:style>
  <w:style w:type="paragraph" w:styleId="KeinLeerraum1" w:customStyle="1">
    <w:name w:val="Kein Leerraum1"/>
    <w:qFormat/>
    <w:rsid w:val="00776daa"/>
    <w:pPr>
      <w:widowControl/>
      <w:suppressAutoHyphens w:val="true"/>
      <w:bidi w:val="0"/>
      <w:spacing w:lineRule="atLeast" w:line="100" w:before="0" w:after="0"/>
      <w:jc w:val="left"/>
    </w:pPr>
    <w:rPr>
      <w:rFonts w:ascii="Arial" w:hAnsi="Arial" w:eastAsia="SimSun" w:cs="Mangal"/>
      <w:color w:val="auto"/>
      <w:kern w:val="2"/>
      <w:sz w:val="22"/>
      <w:szCs w:val="24"/>
      <w:lang w:eastAsia="hi-IN" w:val="de-DE" w:bidi="hi-IN"/>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Larissa">
  <a:themeElements>
    <a:clrScheme name="Lariss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TotalTime>
  <Application>LibreOffice/24.8.6.2$Windows_X86_64 LibreOffice_project/6d98ba145e9a8a39fc57bcc76981d1fb1316c60c</Application>
  <AppVersion>15.0000</AppVersion>
  <DocSecurity>0</DocSecurity>
  <Pages>1</Pages>
  <Words>256</Words>
  <Characters>1698</Characters>
  <CharactersWithSpaces>2006</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2015-09-09T16:33:00Z</dcterms:created>
  <dc:creator>ADAdmin</dc:creator>
  <dc:description/>
  <dc:language>de-DE</dc:language>
  <cp:lastModifiedBy/>
  <dcterms:modified xsi:type="dcterms:W3CDTF">2025-07-03T11:52:48Z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